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中信国安（000839）</w:t>
      </w:r>
      <w:r>
        <w:rPr>
          <w:rFonts w:hint="eastAsia" w:ascii="宋体" w:hAnsi="宋体"/>
          <w:b/>
          <w:bCs/>
          <w:sz w:val="32"/>
        </w:rPr>
        <w:t>签字告知书</w:t>
      </w:r>
    </w:p>
    <w:bookmarkEnd w:id="1"/>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被告：中信国安信息产业股份有限公司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北京市海淀区宝盛南路1号院11号楼三层101-01室</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中信国安信息产业股份有限公司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中信国安信息产业股份有限公司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：中信国安信息产业股份有限公司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住所:北京市海淀区宝盛南路1号院11号楼三层101-01室</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YmNkMWYxZWFjOGZlOWEwODdmZjY2MWRiYjA0ZWI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5F52110"/>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1</TotalTime>
  <ScaleCrop>false</ScaleCrop>
  <LinksUpToDate>false</LinksUpToDate>
  <CharactersWithSpaces>3283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2024-04-30T11:34:37Z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7DD6354FD0A8477386FA637F55EFD540_13</vt:lpwstr>
  </property>
</Properties>
</file>